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2FC" w:rsidRPr="000102FC" w:rsidRDefault="000102FC" w:rsidP="000102FC">
      <w:pPr>
        <w:shd w:val="clear" w:color="auto" w:fill="FFFFFF"/>
        <w:spacing w:after="0" w:line="450" w:lineRule="atLeast"/>
        <w:outlineLvl w:val="1"/>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С</w:t>
      </w:r>
      <w:r w:rsidRPr="000102FC">
        <w:rPr>
          <w:rFonts w:ascii="Arial" w:eastAsia="Times New Roman" w:hAnsi="Arial" w:cs="Arial"/>
          <w:b/>
          <w:bCs/>
          <w:color w:val="000000"/>
          <w:kern w:val="36"/>
          <w:sz w:val="30"/>
          <w:szCs w:val="30"/>
          <w:lang w:eastAsia="ru-RU"/>
        </w:rPr>
        <w:t>татья 10. Конфликт интересов</w:t>
      </w:r>
    </w:p>
    <w:p w:rsidR="000102FC" w:rsidRPr="000102FC" w:rsidRDefault="000102FC" w:rsidP="000102FC">
      <w:pPr>
        <w:shd w:val="clear" w:color="auto" w:fill="FFFFFF"/>
        <w:spacing w:after="0" w:line="360" w:lineRule="atLeast"/>
        <w:rPr>
          <w:rFonts w:ascii="Times New Roman" w:eastAsia="Times New Roman" w:hAnsi="Times New Roman" w:cs="Times New Roman"/>
          <w:color w:val="828282"/>
          <w:sz w:val="28"/>
          <w:szCs w:val="28"/>
          <w:lang w:eastAsia="ru-RU"/>
        </w:rPr>
      </w:pPr>
      <w:r w:rsidRPr="000102FC">
        <w:rPr>
          <w:rFonts w:ascii="Times New Roman" w:eastAsia="Times New Roman" w:hAnsi="Times New Roman" w:cs="Times New Roman"/>
          <w:color w:val="828282"/>
          <w:sz w:val="28"/>
          <w:szCs w:val="28"/>
          <w:lang w:eastAsia="ru-RU"/>
        </w:rPr>
        <w:t>(в ред. Федерального </w:t>
      </w:r>
      <w:hyperlink r:id="rId4" w:anchor="dst100059" w:history="1">
        <w:r w:rsidRPr="000102FC">
          <w:rPr>
            <w:rFonts w:ascii="Times New Roman" w:eastAsia="Times New Roman" w:hAnsi="Times New Roman" w:cs="Times New Roman"/>
            <w:color w:val="1A0DAB"/>
            <w:sz w:val="28"/>
            <w:szCs w:val="28"/>
            <w:u w:val="single"/>
            <w:lang w:eastAsia="ru-RU"/>
          </w:rPr>
          <w:t>закона</w:t>
        </w:r>
      </w:hyperlink>
      <w:r w:rsidRPr="000102FC">
        <w:rPr>
          <w:rFonts w:ascii="Times New Roman" w:eastAsia="Times New Roman" w:hAnsi="Times New Roman" w:cs="Times New Roman"/>
          <w:color w:val="828282"/>
          <w:sz w:val="28"/>
          <w:szCs w:val="28"/>
          <w:lang w:eastAsia="ru-RU"/>
        </w:rPr>
        <w:t> от 05.10.2015 N 285-ФЗ)</w:t>
      </w:r>
    </w:p>
    <w:p w:rsidR="000102FC" w:rsidRPr="000102FC" w:rsidRDefault="000102FC" w:rsidP="000102FC">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102FC">
        <w:rPr>
          <w:rFonts w:ascii="Times New Roman" w:eastAsia="Times New Roman" w:hAnsi="Times New Roman" w:cs="Times New Roman"/>
          <w:color w:val="828282"/>
          <w:sz w:val="28"/>
          <w:szCs w:val="28"/>
          <w:lang w:eastAsia="ru-RU"/>
        </w:rPr>
        <w:t>(см. текст в предыдущей </w:t>
      </w:r>
      <w:hyperlink r:id="rId5" w:history="1">
        <w:r w:rsidRPr="000102FC">
          <w:rPr>
            <w:rFonts w:ascii="Times New Roman" w:eastAsia="Times New Roman" w:hAnsi="Times New Roman" w:cs="Times New Roman"/>
            <w:color w:val="1A0DAB"/>
            <w:sz w:val="28"/>
            <w:szCs w:val="28"/>
            <w:u w:val="single"/>
            <w:lang w:eastAsia="ru-RU"/>
          </w:rPr>
          <w:t>редакции</w:t>
        </w:r>
      </w:hyperlink>
      <w:r w:rsidRPr="000102FC">
        <w:rPr>
          <w:rFonts w:ascii="Times New Roman" w:eastAsia="Times New Roman" w:hAnsi="Times New Roman" w:cs="Times New Roman"/>
          <w:color w:val="828282"/>
          <w:sz w:val="28"/>
          <w:szCs w:val="28"/>
          <w:lang w:eastAsia="ru-RU"/>
        </w:rPr>
        <w:t>)</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2. В </w:t>
      </w:r>
      <w:hyperlink r:id="rId6" w:anchor="dst123" w:history="1">
        <w:r w:rsidRPr="000102FC">
          <w:rPr>
            <w:rFonts w:ascii="Times New Roman" w:eastAsia="Times New Roman" w:hAnsi="Times New Roman" w:cs="Times New Roman"/>
            <w:color w:val="1A0DAB"/>
            <w:sz w:val="24"/>
            <w:szCs w:val="24"/>
            <w:u w:val="single"/>
            <w:lang w:eastAsia="ru-RU"/>
          </w:rPr>
          <w:t>части 1</w:t>
        </w:r>
      </w:hyperlink>
      <w:r w:rsidRPr="000102FC">
        <w:rPr>
          <w:rFonts w:ascii="Times New Roman" w:eastAsia="Times New Roman" w:hAnsi="Times New Roman" w:cs="Times New Roman"/>
          <w:sz w:val="24"/>
          <w:szCs w:val="24"/>
          <w:lang w:eastAsia="ru-RU"/>
        </w:rPr>
        <w:t>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7" w:anchor="dst123" w:history="1">
        <w:r w:rsidRPr="000102FC">
          <w:rPr>
            <w:rFonts w:ascii="Times New Roman" w:eastAsia="Times New Roman" w:hAnsi="Times New Roman" w:cs="Times New Roman"/>
            <w:color w:val="1A0DAB"/>
            <w:sz w:val="24"/>
            <w:szCs w:val="24"/>
            <w:u w:val="single"/>
            <w:lang w:eastAsia="ru-RU"/>
          </w:rPr>
          <w:t>части 1</w:t>
        </w:r>
      </w:hyperlink>
      <w:r w:rsidRPr="000102FC">
        <w:rPr>
          <w:rFonts w:ascii="Times New Roman" w:eastAsia="Times New Roman" w:hAnsi="Times New Roman" w:cs="Times New Roman"/>
          <w:sz w:val="24"/>
          <w:szCs w:val="24"/>
          <w:lang w:eastAsia="ru-RU"/>
        </w:rPr>
        <w:t>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8" w:anchor="dst123" w:history="1">
        <w:r w:rsidRPr="000102FC">
          <w:rPr>
            <w:rFonts w:ascii="Times New Roman" w:eastAsia="Times New Roman" w:hAnsi="Times New Roman" w:cs="Times New Roman"/>
            <w:color w:val="1A0DAB"/>
            <w:sz w:val="24"/>
            <w:szCs w:val="24"/>
            <w:u w:val="single"/>
            <w:lang w:eastAsia="ru-RU"/>
          </w:rPr>
          <w:t>части 1</w:t>
        </w:r>
      </w:hyperlink>
      <w:r w:rsidRPr="000102FC">
        <w:rPr>
          <w:rFonts w:ascii="Times New Roman" w:eastAsia="Times New Roman" w:hAnsi="Times New Roman" w:cs="Times New Roman"/>
          <w:sz w:val="24"/>
          <w:szCs w:val="24"/>
          <w:lang w:eastAsia="ru-RU"/>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3. Обязанность принимать меры по предотвращению и урегулированию конфликта интересов возлагается:</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1) на государственных и муниципальных служащих;</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102FC" w:rsidRPr="000102FC" w:rsidRDefault="000102FC" w:rsidP="000102FC">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102FC">
        <w:rPr>
          <w:rFonts w:ascii="Times New Roman" w:eastAsia="Times New Roman" w:hAnsi="Times New Roman" w:cs="Times New Roman"/>
          <w:color w:val="828282"/>
          <w:sz w:val="28"/>
          <w:szCs w:val="28"/>
          <w:lang w:eastAsia="ru-RU"/>
        </w:rPr>
        <w:t>(в ред. Федерального </w:t>
      </w:r>
      <w:hyperlink r:id="rId9" w:anchor="dst100067" w:history="1">
        <w:r w:rsidRPr="000102FC">
          <w:rPr>
            <w:rFonts w:ascii="Times New Roman" w:eastAsia="Times New Roman" w:hAnsi="Times New Roman" w:cs="Times New Roman"/>
            <w:color w:val="1A0DAB"/>
            <w:sz w:val="28"/>
            <w:szCs w:val="28"/>
            <w:u w:val="single"/>
            <w:lang w:eastAsia="ru-RU"/>
          </w:rPr>
          <w:t>закона</w:t>
        </w:r>
      </w:hyperlink>
      <w:r w:rsidRPr="000102FC">
        <w:rPr>
          <w:rFonts w:ascii="Times New Roman" w:eastAsia="Times New Roman" w:hAnsi="Times New Roman" w:cs="Times New Roman"/>
          <w:color w:val="828282"/>
          <w:sz w:val="28"/>
          <w:szCs w:val="28"/>
          <w:lang w:eastAsia="ru-RU"/>
        </w:rPr>
        <w:t> от 04.06.2018 N 133-ФЗ)</w:t>
      </w:r>
    </w:p>
    <w:p w:rsidR="000102FC" w:rsidRPr="000102FC" w:rsidRDefault="000102FC" w:rsidP="000102FC">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102FC">
        <w:rPr>
          <w:rFonts w:ascii="Times New Roman" w:eastAsia="Times New Roman" w:hAnsi="Times New Roman" w:cs="Times New Roman"/>
          <w:color w:val="828282"/>
          <w:sz w:val="28"/>
          <w:szCs w:val="28"/>
          <w:lang w:eastAsia="ru-RU"/>
        </w:rPr>
        <w:t>(см. текст в предыдущей </w:t>
      </w:r>
      <w:hyperlink r:id="rId10" w:history="1">
        <w:r w:rsidRPr="000102FC">
          <w:rPr>
            <w:rFonts w:ascii="Times New Roman" w:eastAsia="Times New Roman" w:hAnsi="Times New Roman" w:cs="Times New Roman"/>
            <w:color w:val="1A0DAB"/>
            <w:sz w:val="28"/>
            <w:szCs w:val="28"/>
            <w:u w:val="single"/>
            <w:lang w:eastAsia="ru-RU"/>
          </w:rPr>
          <w:t>редакции</w:t>
        </w:r>
      </w:hyperlink>
      <w:r w:rsidRPr="000102FC">
        <w:rPr>
          <w:rFonts w:ascii="Times New Roman" w:eastAsia="Times New Roman" w:hAnsi="Times New Roman" w:cs="Times New Roman"/>
          <w:color w:val="828282"/>
          <w:sz w:val="28"/>
          <w:szCs w:val="28"/>
          <w:lang w:eastAsia="ru-RU"/>
        </w:rPr>
        <w:t>)</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02FC" w:rsidRPr="000102FC" w:rsidRDefault="000102FC" w:rsidP="000102FC">
      <w:pPr>
        <w:spacing w:after="0" w:line="240" w:lineRule="auto"/>
        <w:rPr>
          <w:rFonts w:ascii="Times New Roman" w:eastAsia="Times New Roman" w:hAnsi="Times New Roman" w:cs="Times New Roman"/>
          <w:sz w:val="24"/>
          <w:szCs w:val="24"/>
          <w:lang w:eastAsia="ru-RU"/>
        </w:rPr>
      </w:pPr>
      <w:r w:rsidRPr="000102FC">
        <w:rPr>
          <w:rFonts w:ascii="Times New Roman" w:eastAsia="Times New Roman" w:hAnsi="Times New Roman" w:cs="Times New Roman"/>
          <w:sz w:val="24"/>
          <w:szCs w:val="24"/>
          <w:lang w:eastAsia="ru-RU"/>
        </w:rPr>
        <w:t>4) на иные категории лиц в случаях, предусмотренных федеральными законами.</w:t>
      </w:r>
    </w:p>
    <w:p w:rsidR="000102FC" w:rsidRPr="000102FC" w:rsidRDefault="000102FC" w:rsidP="000102FC">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102FC">
        <w:rPr>
          <w:rFonts w:ascii="Times New Roman" w:eastAsia="Times New Roman" w:hAnsi="Times New Roman" w:cs="Times New Roman"/>
          <w:color w:val="828282"/>
          <w:sz w:val="28"/>
          <w:szCs w:val="28"/>
          <w:lang w:eastAsia="ru-RU"/>
        </w:rPr>
        <w:t>(часть 3 введена Федеральным </w:t>
      </w:r>
      <w:hyperlink r:id="rId11" w:anchor="dst100080" w:history="1">
        <w:r w:rsidRPr="000102FC">
          <w:rPr>
            <w:rFonts w:ascii="Times New Roman" w:eastAsia="Times New Roman" w:hAnsi="Times New Roman" w:cs="Times New Roman"/>
            <w:color w:val="1A0DAB"/>
            <w:sz w:val="28"/>
            <w:szCs w:val="28"/>
            <w:u w:val="single"/>
            <w:lang w:eastAsia="ru-RU"/>
          </w:rPr>
          <w:t>законом</w:t>
        </w:r>
      </w:hyperlink>
      <w:r w:rsidRPr="000102FC">
        <w:rPr>
          <w:rFonts w:ascii="Times New Roman" w:eastAsia="Times New Roman" w:hAnsi="Times New Roman" w:cs="Times New Roman"/>
          <w:color w:val="828282"/>
          <w:sz w:val="28"/>
          <w:szCs w:val="28"/>
          <w:lang w:eastAsia="ru-RU"/>
        </w:rPr>
        <w:t> от 03.04.2017 N 64-ФЗ)</w:t>
      </w:r>
    </w:p>
    <w:p w:rsidR="006E6EC2" w:rsidRPr="006E6EC2" w:rsidRDefault="006E6EC2" w:rsidP="006E6EC2">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6E6EC2">
        <w:rPr>
          <w:rFonts w:ascii="Arial" w:eastAsia="Times New Roman" w:hAnsi="Arial" w:cs="Arial"/>
          <w:b/>
          <w:bCs/>
          <w:color w:val="000000"/>
          <w:kern w:val="36"/>
          <w:sz w:val="30"/>
          <w:szCs w:val="30"/>
          <w:lang w:eastAsia="ru-RU"/>
        </w:rPr>
        <w:t>Статья 11. Порядок предотвращения и урегулирования конфликта интересов</w:t>
      </w:r>
    </w:p>
    <w:p w:rsidR="006E6EC2" w:rsidRPr="006E6EC2" w:rsidRDefault="006E6EC2" w:rsidP="006E6EC2">
      <w:pPr>
        <w:shd w:val="clear" w:color="auto" w:fill="FFFFFF"/>
        <w:spacing w:after="0" w:line="360" w:lineRule="atLeast"/>
        <w:rPr>
          <w:rFonts w:ascii="Times New Roman" w:eastAsia="Times New Roman" w:hAnsi="Times New Roman" w:cs="Times New Roman"/>
          <w:color w:val="828282"/>
          <w:sz w:val="28"/>
          <w:szCs w:val="28"/>
          <w:lang w:eastAsia="ru-RU"/>
        </w:rPr>
      </w:pPr>
      <w:r w:rsidRPr="006E6EC2">
        <w:rPr>
          <w:rFonts w:ascii="Times New Roman" w:eastAsia="Times New Roman" w:hAnsi="Times New Roman" w:cs="Times New Roman"/>
          <w:color w:val="828282"/>
          <w:sz w:val="28"/>
          <w:szCs w:val="28"/>
          <w:lang w:eastAsia="ru-RU"/>
        </w:rPr>
        <w:t>(в ред. Федерального </w:t>
      </w:r>
      <w:hyperlink r:id="rId12" w:anchor="dst100063" w:history="1">
        <w:r w:rsidRPr="006E6EC2">
          <w:rPr>
            <w:rFonts w:ascii="Times New Roman" w:eastAsia="Times New Roman" w:hAnsi="Times New Roman" w:cs="Times New Roman"/>
            <w:color w:val="1A0DAB"/>
            <w:sz w:val="28"/>
            <w:szCs w:val="28"/>
            <w:u w:val="single"/>
            <w:lang w:eastAsia="ru-RU"/>
          </w:rPr>
          <w:t>закона</w:t>
        </w:r>
      </w:hyperlink>
      <w:r w:rsidRPr="006E6EC2">
        <w:rPr>
          <w:rFonts w:ascii="Times New Roman" w:eastAsia="Times New Roman" w:hAnsi="Times New Roman" w:cs="Times New Roman"/>
          <w:color w:val="828282"/>
          <w:sz w:val="28"/>
          <w:szCs w:val="28"/>
          <w:lang w:eastAsia="ru-RU"/>
        </w:rPr>
        <w:t> от 05.10.2015 N 285-ФЗ)</w:t>
      </w:r>
    </w:p>
    <w:p w:rsidR="006E6EC2" w:rsidRPr="006E6EC2" w:rsidRDefault="006E6EC2" w:rsidP="006E6EC2">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6E6EC2">
        <w:rPr>
          <w:rFonts w:ascii="Times New Roman" w:eastAsia="Times New Roman" w:hAnsi="Times New Roman" w:cs="Times New Roman"/>
          <w:color w:val="828282"/>
          <w:sz w:val="28"/>
          <w:szCs w:val="28"/>
          <w:lang w:eastAsia="ru-RU"/>
        </w:rPr>
        <w:t>(см. текст в предыдущей </w:t>
      </w:r>
      <w:hyperlink r:id="rId13" w:history="1">
        <w:r w:rsidRPr="006E6EC2">
          <w:rPr>
            <w:rFonts w:ascii="Times New Roman" w:eastAsia="Times New Roman" w:hAnsi="Times New Roman" w:cs="Times New Roman"/>
            <w:color w:val="1A0DAB"/>
            <w:sz w:val="28"/>
            <w:szCs w:val="28"/>
            <w:u w:val="single"/>
            <w:lang w:eastAsia="ru-RU"/>
          </w:rPr>
          <w:t>редакции</w:t>
        </w:r>
      </w:hyperlink>
      <w:r w:rsidRPr="006E6EC2">
        <w:rPr>
          <w:rFonts w:ascii="Times New Roman" w:eastAsia="Times New Roman" w:hAnsi="Times New Roman" w:cs="Times New Roman"/>
          <w:color w:val="828282"/>
          <w:sz w:val="28"/>
          <w:szCs w:val="28"/>
          <w:lang w:eastAsia="ru-RU"/>
        </w:rPr>
        <w:t>)</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1. Лицо, указанное в </w:t>
      </w:r>
      <w:hyperlink r:id="rId14" w:anchor="dst123" w:history="1">
        <w:r w:rsidRPr="006E6EC2">
          <w:rPr>
            <w:rFonts w:ascii="Times New Roman" w:eastAsia="Times New Roman" w:hAnsi="Times New Roman" w:cs="Times New Roman"/>
            <w:color w:val="1A0DAB"/>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обязано принимать меры по недопущению любой возможности возникновения конфликта интересов.</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2. Лицо, указанное в </w:t>
      </w:r>
      <w:hyperlink r:id="rId15" w:anchor="dst123" w:history="1">
        <w:r w:rsidRPr="006E6EC2">
          <w:rPr>
            <w:rFonts w:ascii="Times New Roman" w:eastAsia="Times New Roman" w:hAnsi="Times New Roman" w:cs="Times New Roman"/>
            <w:color w:val="1A0DAB"/>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обязано уведомить в </w:t>
      </w:r>
      <w:hyperlink r:id="rId16" w:history="1">
        <w:r w:rsidRPr="006E6EC2">
          <w:rPr>
            <w:rFonts w:ascii="Times New Roman" w:eastAsia="Times New Roman" w:hAnsi="Times New Roman" w:cs="Times New Roman"/>
            <w:color w:val="1A0DAB"/>
            <w:sz w:val="24"/>
            <w:szCs w:val="24"/>
            <w:u w:val="single"/>
            <w:lang w:eastAsia="ru-RU"/>
          </w:rPr>
          <w:t>порядке</w:t>
        </w:r>
      </w:hyperlink>
      <w:r w:rsidRPr="006E6EC2">
        <w:rPr>
          <w:rFonts w:ascii="Times New Roman" w:eastAsia="Times New Roman" w:hAnsi="Times New Roman" w:cs="Times New Roman"/>
          <w:sz w:val="24"/>
          <w:szCs w:val="24"/>
          <w:lang w:eastAsia="ru-RU"/>
        </w:rPr>
        <w:t xml:space="preserve">, определенном представителем нанимателя (работодателем) в соответствии с </w:t>
      </w:r>
      <w:r w:rsidRPr="006E6EC2">
        <w:rPr>
          <w:rFonts w:ascii="Times New Roman" w:eastAsia="Times New Roman" w:hAnsi="Times New Roman" w:cs="Times New Roman"/>
          <w:sz w:val="24"/>
          <w:szCs w:val="24"/>
          <w:lang w:eastAsia="ru-RU"/>
        </w:rPr>
        <w:lastRenderedPageBreak/>
        <w:t>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3. Представитель нанимателя (работодатель), если ему стало известно о возникновении у лица, указанного в </w:t>
      </w:r>
      <w:hyperlink r:id="rId17" w:anchor="dst123" w:history="1">
        <w:r w:rsidRPr="006E6EC2">
          <w:rPr>
            <w:rFonts w:ascii="Times New Roman" w:eastAsia="Times New Roman" w:hAnsi="Times New Roman" w:cs="Times New Roman"/>
            <w:color w:val="1A0DAB"/>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8" w:anchor="dst123" w:history="1">
        <w:r w:rsidRPr="006E6EC2">
          <w:rPr>
            <w:rFonts w:ascii="Times New Roman" w:eastAsia="Times New Roman" w:hAnsi="Times New Roman" w:cs="Times New Roman"/>
            <w:color w:val="FF9900"/>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лицо, указанное в </w:t>
      </w:r>
      <w:hyperlink r:id="rId19" w:anchor="dst123" w:history="1">
        <w:r w:rsidRPr="006E6EC2">
          <w:rPr>
            <w:rFonts w:ascii="Times New Roman" w:eastAsia="Times New Roman" w:hAnsi="Times New Roman" w:cs="Times New Roman"/>
            <w:color w:val="1A0DAB"/>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6. Непринятие лицом, указанным в </w:t>
      </w:r>
      <w:hyperlink r:id="rId20" w:anchor="dst123" w:history="1">
        <w:r w:rsidRPr="006E6EC2">
          <w:rPr>
            <w:rFonts w:ascii="Times New Roman" w:eastAsia="Times New Roman" w:hAnsi="Times New Roman" w:cs="Times New Roman"/>
            <w:color w:val="1A0DAB"/>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21" w:history="1">
        <w:r w:rsidRPr="006E6EC2">
          <w:rPr>
            <w:rFonts w:ascii="Times New Roman" w:eastAsia="Times New Roman" w:hAnsi="Times New Roman" w:cs="Times New Roman"/>
            <w:color w:val="1A0DAB"/>
            <w:sz w:val="24"/>
            <w:szCs w:val="24"/>
            <w:u w:val="single"/>
            <w:lang w:eastAsia="ru-RU"/>
          </w:rPr>
          <w:t>законодательством</w:t>
        </w:r>
      </w:hyperlink>
      <w:r w:rsidRPr="006E6EC2">
        <w:rPr>
          <w:rFonts w:ascii="Times New Roman" w:eastAsia="Times New Roman" w:hAnsi="Times New Roman" w:cs="Times New Roman"/>
          <w:sz w:val="24"/>
          <w:szCs w:val="24"/>
          <w:lang w:eastAsia="ru-RU"/>
        </w:rPr>
        <w:t> Российской Федерации.</w:t>
      </w:r>
    </w:p>
    <w:p w:rsidR="006E6EC2" w:rsidRPr="006E6EC2" w:rsidRDefault="006E6EC2" w:rsidP="006E6EC2">
      <w:pPr>
        <w:spacing w:after="0" w:line="240" w:lineRule="auto"/>
        <w:rPr>
          <w:rFonts w:ascii="Times New Roman" w:eastAsia="Times New Roman" w:hAnsi="Times New Roman" w:cs="Times New Roman"/>
          <w:sz w:val="24"/>
          <w:szCs w:val="24"/>
          <w:lang w:eastAsia="ru-RU"/>
        </w:rPr>
      </w:pPr>
      <w:r w:rsidRPr="006E6EC2">
        <w:rPr>
          <w:rFonts w:ascii="Times New Roman" w:eastAsia="Times New Roman" w:hAnsi="Times New Roman" w:cs="Times New Roman"/>
          <w:sz w:val="24"/>
          <w:szCs w:val="24"/>
          <w:lang w:eastAsia="ru-RU"/>
        </w:rPr>
        <w:t>7. В случае, если лицо, указанное в </w:t>
      </w:r>
      <w:hyperlink r:id="rId22" w:anchor="dst123" w:history="1">
        <w:r w:rsidRPr="006E6EC2">
          <w:rPr>
            <w:rFonts w:ascii="Times New Roman" w:eastAsia="Times New Roman" w:hAnsi="Times New Roman" w:cs="Times New Roman"/>
            <w:color w:val="1A0DAB"/>
            <w:sz w:val="24"/>
            <w:szCs w:val="24"/>
            <w:u w:val="single"/>
            <w:lang w:eastAsia="ru-RU"/>
          </w:rPr>
          <w:t>части 1 статьи 10</w:t>
        </w:r>
      </w:hyperlink>
      <w:r w:rsidRPr="006E6EC2">
        <w:rPr>
          <w:rFonts w:ascii="Times New Roman" w:eastAsia="Times New Roman" w:hAnsi="Times New Roman" w:cs="Times New Roman"/>
          <w:sz w:val="24"/>
          <w:szCs w:val="24"/>
          <w:lang w:eastAsia="ru-RU"/>
        </w:rPr>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3" w:anchor="dst102357" w:history="1">
        <w:r w:rsidRPr="006E6EC2">
          <w:rPr>
            <w:rFonts w:ascii="Times New Roman" w:eastAsia="Times New Roman" w:hAnsi="Times New Roman" w:cs="Times New Roman"/>
            <w:color w:val="1A0DAB"/>
            <w:sz w:val="24"/>
            <w:szCs w:val="24"/>
            <w:u w:val="single"/>
            <w:lang w:eastAsia="ru-RU"/>
          </w:rPr>
          <w:t>законодательством</w:t>
        </w:r>
      </w:hyperlink>
      <w:r w:rsidRPr="006E6EC2">
        <w:rPr>
          <w:rFonts w:ascii="Times New Roman" w:eastAsia="Times New Roman" w:hAnsi="Times New Roman" w:cs="Times New Roman"/>
          <w:sz w:val="24"/>
          <w:szCs w:val="24"/>
          <w:lang w:eastAsia="ru-RU"/>
        </w:rPr>
        <w:t>.</w:t>
      </w:r>
    </w:p>
    <w:p w:rsidR="00B726C3" w:rsidRDefault="00B726C3">
      <w:bookmarkStart w:id="0" w:name="_GoBack"/>
      <w:bookmarkEnd w:id="0"/>
    </w:p>
    <w:sectPr w:rsidR="00B726C3" w:rsidSect="005A3B02">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FC"/>
    <w:rsid w:val="000102FC"/>
    <w:rsid w:val="00231748"/>
    <w:rsid w:val="00356F6B"/>
    <w:rsid w:val="005A3B02"/>
    <w:rsid w:val="006E6EC2"/>
    <w:rsid w:val="00B72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483D"/>
  <w15:chartTrackingRefBased/>
  <w15:docId w15:val="{A730CF74-5BC8-4C3A-98C9-55EFB768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43976">
      <w:bodyDiv w:val="1"/>
      <w:marLeft w:val="0"/>
      <w:marRight w:val="0"/>
      <w:marTop w:val="0"/>
      <w:marBottom w:val="0"/>
      <w:divBdr>
        <w:top w:val="none" w:sz="0" w:space="0" w:color="auto"/>
        <w:left w:val="none" w:sz="0" w:space="0" w:color="auto"/>
        <w:bottom w:val="none" w:sz="0" w:space="0" w:color="auto"/>
        <w:right w:val="none" w:sz="0" w:space="0" w:color="auto"/>
      </w:divBdr>
      <w:divsChild>
        <w:div w:id="288829452">
          <w:marLeft w:val="0"/>
          <w:marRight w:val="0"/>
          <w:marTop w:val="0"/>
          <w:marBottom w:val="0"/>
          <w:divBdr>
            <w:top w:val="none" w:sz="0" w:space="0" w:color="auto"/>
            <w:left w:val="none" w:sz="0" w:space="0" w:color="auto"/>
            <w:bottom w:val="none" w:sz="0" w:space="0" w:color="auto"/>
            <w:right w:val="none" w:sz="0" w:space="0" w:color="auto"/>
          </w:divBdr>
        </w:div>
        <w:div w:id="1089160454">
          <w:marLeft w:val="0"/>
          <w:marRight w:val="0"/>
          <w:marTop w:val="210"/>
          <w:marBottom w:val="0"/>
          <w:divBdr>
            <w:top w:val="none" w:sz="0" w:space="0" w:color="auto"/>
            <w:left w:val="none" w:sz="0" w:space="0" w:color="auto"/>
            <w:bottom w:val="none" w:sz="0" w:space="0" w:color="auto"/>
            <w:right w:val="none" w:sz="0" w:space="0" w:color="auto"/>
          </w:divBdr>
        </w:div>
        <w:div w:id="140005463">
          <w:marLeft w:val="0"/>
          <w:marRight w:val="0"/>
          <w:marTop w:val="0"/>
          <w:marBottom w:val="0"/>
          <w:divBdr>
            <w:top w:val="none" w:sz="0" w:space="0" w:color="auto"/>
            <w:left w:val="none" w:sz="0" w:space="0" w:color="auto"/>
            <w:bottom w:val="none" w:sz="0" w:space="0" w:color="auto"/>
            <w:right w:val="none" w:sz="0" w:space="0" w:color="auto"/>
          </w:divBdr>
        </w:div>
      </w:divsChild>
    </w:div>
    <w:div w:id="1090010089">
      <w:bodyDiv w:val="1"/>
      <w:marLeft w:val="0"/>
      <w:marRight w:val="0"/>
      <w:marTop w:val="0"/>
      <w:marBottom w:val="0"/>
      <w:divBdr>
        <w:top w:val="none" w:sz="0" w:space="0" w:color="auto"/>
        <w:left w:val="none" w:sz="0" w:space="0" w:color="auto"/>
        <w:bottom w:val="none" w:sz="0" w:space="0" w:color="auto"/>
        <w:right w:val="none" w:sz="0" w:space="0" w:color="auto"/>
      </w:divBdr>
      <w:divsChild>
        <w:div w:id="1056708254">
          <w:marLeft w:val="0"/>
          <w:marRight w:val="0"/>
          <w:marTop w:val="0"/>
          <w:marBottom w:val="0"/>
          <w:divBdr>
            <w:top w:val="none" w:sz="0" w:space="0" w:color="auto"/>
            <w:left w:val="none" w:sz="0" w:space="0" w:color="auto"/>
            <w:bottom w:val="none" w:sz="0" w:space="0" w:color="auto"/>
            <w:right w:val="none" w:sz="0" w:space="0" w:color="auto"/>
          </w:divBdr>
        </w:div>
        <w:div w:id="958336010">
          <w:marLeft w:val="0"/>
          <w:marRight w:val="0"/>
          <w:marTop w:val="210"/>
          <w:marBottom w:val="0"/>
          <w:divBdr>
            <w:top w:val="none" w:sz="0" w:space="0" w:color="auto"/>
            <w:left w:val="none" w:sz="0" w:space="0" w:color="auto"/>
            <w:bottom w:val="none" w:sz="0" w:space="0" w:color="auto"/>
            <w:right w:val="none" w:sz="0" w:space="0" w:color="auto"/>
          </w:divBdr>
        </w:div>
        <w:div w:id="2030638607">
          <w:marLeft w:val="0"/>
          <w:marRight w:val="0"/>
          <w:marTop w:val="0"/>
          <w:marBottom w:val="0"/>
          <w:divBdr>
            <w:top w:val="none" w:sz="0" w:space="0" w:color="auto"/>
            <w:left w:val="none" w:sz="0" w:space="0" w:color="auto"/>
            <w:bottom w:val="none" w:sz="0" w:space="0" w:color="auto"/>
            <w:right w:val="none" w:sz="0" w:space="0" w:color="auto"/>
          </w:divBdr>
        </w:div>
        <w:div w:id="1276205612">
          <w:marLeft w:val="0"/>
          <w:marRight w:val="0"/>
          <w:marTop w:val="0"/>
          <w:marBottom w:val="0"/>
          <w:divBdr>
            <w:top w:val="none" w:sz="0" w:space="0" w:color="auto"/>
            <w:left w:val="none" w:sz="0" w:space="0" w:color="auto"/>
            <w:bottom w:val="none" w:sz="0" w:space="0" w:color="auto"/>
            <w:right w:val="none" w:sz="0" w:space="0" w:color="auto"/>
          </w:divBdr>
        </w:div>
        <w:div w:id="1806773778">
          <w:marLeft w:val="0"/>
          <w:marRight w:val="0"/>
          <w:marTop w:val="0"/>
          <w:marBottom w:val="0"/>
          <w:divBdr>
            <w:top w:val="none" w:sz="0" w:space="0" w:color="auto"/>
            <w:left w:val="none" w:sz="0" w:space="0" w:color="auto"/>
            <w:bottom w:val="none" w:sz="0" w:space="0" w:color="auto"/>
            <w:right w:val="none" w:sz="0" w:space="0" w:color="auto"/>
          </w:divBdr>
        </w:div>
        <w:div w:id="34432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958/5d02242ebd04c398d2acf7c53dbc79659b85e8f3/" TargetMode="External"/><Relationship Id="rId13" Type="http://schemas.openxmlformats.org/officeDocument/2006/relationships/hyperlink" Target="http://www.consultant.ru/document/cons_doc_LAW_82959/64ca591ea83268ee3d33f6e564cbcac0d3a073d9/" TargetMode="External"/><Relationship Id="rId18" Type="http://schemas.openxmlformats.org/officeDocument/2006/relationships/hyperlink" Target="http://www.consultant.ru/document/cons_doc_LAW_405958/5d02242ebd04c398d2acf7c53dbc79659b85e8f3/" TargetMode="External"/><Relationship Id="rId3" Type="http://schemas.openxmlformats.org/officeDocument/2006/relationships/webSettings" Target="webSettings.xml"/><Relationship Id="rId21" Type="http://schemas.openxmlformats.org/officeDocument/2006/relationships/hyperlink" Target="http://www.consultant.ru/document/cons_doc_LAW_82959/64ca591ea83268ee3d33f6e564cbcac0d3a073d9/" TargetMode="External"/><Relationship Id="rId7" Type="http://schemas.openxmlformats.org/officeDocument/2006/relationships/hyperlink" Target="http://www.consultant.ru/document/cons_doc_LAW_405958/5d02242ebd04c398d2acf7c53dbc79659b85e8f3/" TargetMode="External"/><Relationship Id="rId12" Type="http://schemas.openxmlformats.org/officeDocument/2006/relationships/hyperlink" Target="http://www.consultant.ru/document/cons_doc_LAW_404209/b62da3aeb315547b6915beadea02920bd7dd4c41/" TargetMode="External"/><Relationship Id="rId17" Type="http://schemas.openxmlformats.org/officeDocument/2006/relationships/hyperlink" Target="http://www.consultant.ru/document/cons_doc_LAW_405958/5d02242ebd04c398d2acf7c53dbc79659b85e8f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nsultant.ru/document/cons_doc_LAW_82959/64ca591ea83268ee3d33f6e564cbcac0d3a073d9/" TargetMode="External"/><Relationship Id="rId20" Type="http://schemas.openxmlformats.org/officeDocument/2006/relationships/hyperlink" Target="http://www.consultant.ru/document/cons_doc_LAW_405958/5d02242ebd04c398d2acf7c53dbc79659b85e8f3/" TargetMode="External"/><Relationship Id="rId1" Type="http://schemas.openxmlformats.org/officeDocument/2006/relationships/styles" Target="styles.xml"/><Relationship Id="rId6" Type="http://schemas.openxmlformats.org/officeDocument/2006/relationships/hyperlink" Target="http://www.consultant.ru/document/cons_doc_LAW_405958/5d02242ebd04c398d2acf7c53dbc79659b85e8f3/" TargetMode="External"/><Relationship Id="rId11" Type="http://schemas.openxmlformats.org/officeDocument/2006/relationships/hyperlink" Target="http://www.consultant.ru/document/cons_doc_LAW_214785/46b4b351a6eb6bf3c553d41eb663011c2cb38810/" TargetMode="External"/><Relationship Id="rId24" Type="http://schemas.openxmlformats.org/officeDocument/2006/relationships/fontTable" Target="fontTable.xml"/><Relationship Id="rId5" Type="http://schemas.openxmlformats.org/officeDocument/2006/relationships/hyperlink" Target="http://www.consultant.ru/document/cons_doc_LAW_82959/5d02242ebd04c398d2acf7c53dbc79659b85e8f3/" TargetMode="External"/><Relationship Id="rId15" Type="http://schemas.openxmlformats.org/officeDocument/2006/relationships/hyperlink" Target="http://www.consultant.ru/document/cons_doc_LAW_405958/5d02242ebd04c398d2acf7c53dbc79659b85e8f3/" TargetMode="External"/><Relationship Id="rId23" Type="http://schemas.openxmlformats.org/officeDocument/2006/relationships/hyperlink" Target="http://www.consultant.ru/document/cons_doc_LAW_377025/f27c4055b32902047f8d6132390376c97bc17871/" TargetMode="External"/><Relationship Id="rId10" Type="http://schemas.openxmlformats.org/officeDocument/2006/relationships/hyperlink" Target="http://www.consultant.ru/document/cons_doc_LAW_82959/5d02242ebd04c398d2acf7c53dbc79659b85e8f3/" TargetMode="External"/><Relationship Id="rId19" Type="http://schemas.openxmlformats.org/officeDocument/2006/relationships/hyperlink" Target="http://www.consultant.ru/document/cons_doc_LAW_405958/5d02242ebd04c398d2acf7c53dbc79659b85e8f3/" TargetMode="External"/><Relationship Id="rId4" Type="http://schemas.openxmlformats.org/officeDocument/2006/relationships/hyperlink" Target="http://www.consultant.ru/document/cons_doc_LAW_404209/b62da3aeb315547b6915beadea02920bd7dd4c41/" TargetMode="External"/><Relationship Id="rId9" Type="http://schemas.openxmlformats.org/officeDocument/2006/relationships/hyperlink" Target="http://www.consultant.ru/document/cons_doc_LAW_299400/bdb2754392763f4c0afbdb3bc7ea77ef6a5287c4/" TargetMode="External"/><Relationship Id="rId14" Type="http://schemas.openxmlformats.org/officeDocument/2006/relationships/hyperlink" Target="http://www.consultant.ru/document/cons_doc_LAW_405958/5d02242ebd04c398d2acf7c53dbc79659b85e8f3/" TargetMode="External"/><Relationship Id="rId22" Type="http://schemas.openxmlformats.org/officeDocument/2006/relationships/hyperlink" Target="http://www.consultant.ru/document/cons_doc_LAW_405958/5d02242ebd04c398d2acf7c53dbc79659b85e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1082</Words>
  <Characters>6170</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Статья 10. Конфликт интересов</vt:lpstr>
      <vt:lpstr>    Статья 11. Порядок предотвращения и урегулирования конфликта интересов</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2022-01-13T08:48:00Z</dcterms:created>
  <dcterms:modified xsi:type="dcterms:W3CDTF">2022-01-13T12:16:00Z</dcterms:modified>
</cp:coreProperties>
</file>